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CAB8" w14:textId="542FEBFE" w:rsidR="001163F7" w:rsidRDefault="001163F7" w:rsidP="001163F7"/>
    <w:p w14:paraId="004BEDA2" w14:textId="77777777" w:rsidR="001163F7" w:rsidRPr="000B6ADD" w:rsidRDefault="001163F7" w:rsidP="001163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ADD">
        <w:rPr>
          <w:rFonts w:ascii="Times New Roman" w:hAnsi="Times New Roman" w:cs="Times New Roman"/>
          <w:b/>
          <w:sz w:val="24"/>
          <w:szCs w:val="24"/>
        </w:rPr>
        <w:t xml:space="preserve">ŞCOALA GIMNAZIALĂ NR.1 </w:t>
      </w:r>
      <w:r w:rsidR="005304F3">
        <w:rPr>
          <w:rFonts w:ascii="Times New Roman" w:hAnsi="Times New Roman" w:cs="Times New Roman"/>
          <w:b/>
          <w:sz w:val="24"/>
          <w:szCs w:val="24"/>
        </w:rPr>
        <w:t xml:space="preserve">RĂDĂUȚI – PRUT </w:t>
      </w:r>
    </w:p>
    <w:p w14:paraId="7BE80BD5" w14:textId="77777777" w:rsidR="001163F7" w:rsidRPr="000B6ADD" w:rsidRDefault="001163F7" w:rsidP="001163F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6ADD">
        <w:rPr>
          <w:rFonts w:ascii="Times New Roman" w:hAnsi="Times New Roman" w:cs="Times New Roman"/>
          <w:sz w:val="24"/>
          <w:szCs w:val="24"/>
        </w:rPr>
        <w:t xml:space="preserve">COM. </w:t>
      </w:r>
      <w:r w:rsidR="005304F3">
        <w:rPr>
          <w:rFonts w:ascii="Times New Roman" w:hAnsi="Times New Roman" w:cs="Times New Roman"/>
          <w:sz w:val="24"/>
          <w:szCs w:val="24"/>
        </w:rPr>
        <w:t>RĂDĂUȚI – PRUT</w:t>
      </w:r>
      <w:r w:rsidRPr="000B6ADD">
        <w:rPr>
          <w:rFonts w:ascii="Times New Roman" w:hAnsi="Times New Roman" w:cs="Times New Roman"/>
          <w:sz w:val="24"/>
          <w:szCs w:val="24"/>
        </w:rPr>
        <w:t xml:space="preserve"> – JUDEŢUL BOTOŞANI</w:t>
      </w:r>
    </w:p>
    <w:p w14:paraId="101ADC20" w14:textId="77777777" w:rsidR="001163F7" w:rsidRPr="000B6ADD" w:rsidRDefault="001163F7" w:rsidP="001163F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6ADD">
        <w:rPr>
          <w:rFonts w:ascii="Times New Roman" w:hAnsi="Times New Roman" w:cs="Times New Roman"/>
          <w:sz w:val="24"/>
          <w:szCs w:val="24"/>
        </w:rPr>
        <w:t xml:space="preserve">TEL / FAX </w:t>
      </w:r>
      <w:r w:rsidR="005304F3" w:rsidRPr="005304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0231622762</w:t>
      </w:r>
      <w:r w:rsidR="005304F3" w:rsidRPr="005304F3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0B6ADD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8" w:history="1">
        <w:r w:rsidR="005304F3" w:rsidRPr="00B2699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scoalarprut@yahoo.com</w:t>
        </w:r>
      </w:hyperlink>
    </w:p>
    <w:p w14:paraId="717B6F25" w14:textId="71E10449" w:rsidR="001163F7" w:rsidRPr="000B6ADD" w:rsidRDefault="001163F7" w:rsidP="001163F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B6ADD">
        <w:rPr>
          <w:rFonts w:ascii="Times New Roman" w:hAnsi="Times New Roman" w:cs="Times New Roman"/>
          <w:sz w:val="24"/>
          <w:szCs w:val="24"/>
        </w:rPr>
        <w:t>NR</w:t>
      </w:r>
      <w:r w:rsidR="000B6ADD" w:rsidRPr="000B6ADD">
        <w:rPr>
          <w:rFonts w:ascii="Times New Roman" w:hAnsi="Times New Roman" w:cs="Times New Roman"/>
          <w:sz w:val="24"/>
          <w:szCs w:val="24"/>
        </w:rPr>
        <w:t xml:space="preserve">. </w:t>
      </w:r>
      <w:r w:rsidR="005304F3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0E0EF7">
        <w:rPr>
          <w:rFonts w:ascii="Times New Roman" w:hAnsi="Times New Roman" w:cs="Times New Roman"/>
          <w:b/>
          <w:sz w:val="24"/>
          <w:szCs w:val="24"/>
          <w:u w:val="single"/>
        </w:rPr>
        <w:t>1413</w:t>
      </w:r>
      <w:r w:rsidR="005304F3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0B6ADD">
        <w:rPr>
          <w:rFonts w:ascii="Times New Roman" w:hAnsi="Times New Roman" w:cs="Times New Roman"/>
          <w:sz w:val="24"/>
          <w:szCs w:val="24"/>
        </w:rPr>
        <w:t xml:space="preserve">  DIN </w:t>
      </w:r>
      <w:r w:rsidR="000E0EF7">
        <w:rPr>
          <w:rFonts w:ascii="Times New Roman" w:hAnsi="Times New Roman" w:cs="Times New Roman"/>
          <w:b/>
          <w:sz w:val="24"/>
          <w:szCs w:val="24"/>
          <w:u w:val="single"/>
        </w:rPr>
        <w:t>19.05.2025</w:t>
      </w:r>
    </w:p>
    <w:p w14:paraId="2763CF23" w14:textId="77777777" w:rsidR="00B77654" w:rsidRPr="001163F7" w:rsidRDefault="00064A7E" w:rsidP="001163F7">
      <w:pPr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pict w14:anchorId="3BE17CE9">
          <v:rect id="_x0000_i1025" style="width:453.6pt;height:1.5pt" o:hralign="center" o:hrstd="t" o:hr="t" fillcolor="#a0a0a0" stroked="f"/>
        </w:pict>
      </w:r>
    </w:p>
    <w:p w14:paraId="3B0E2C62" w14:textId="77777777" w:rsidR="00B77654" w:rsidRDefault="00B77654" w:rsidP="00766EF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</w:pPr>
    </w:p>
    <w:p w14:paraId="29C98E0F" w14:textId="77777777" w:rsidR="00E54AC8" w:rsidRDefault="00E54AC8" w:rsidP="00766EF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RAPORTEAZĂ ÎNCĂLCĂRI ÎN INTERES PUBLIC</w:t>
      </w:r>
    </w:p>
    <w:p w14:paraId="345BA2DA" w14:textId="77777777" w:rsidR="00CD480B" w:rsidRPr="000B6ADD" w:rsidRDefault="00CD480B" w:rsidP="00766EF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</w:p>
    <w:p w14:paraId="3A835106" w14:textId="77777777" w:rsidR="00E54AC8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A. CADRUL GENERAL</w:t>
      </w:r>
    </w:p>
    <w:p w14:paraId="5AC82620" w14:textId="77777777" w:rsidR="005304F3" w:rsidRDefault="00E54AC8" w:rsidP="00CD48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 xml:space="preserve">În contextul cadrului general guvernat de prevederile normative în vigoare privind protecția avertizorilor în </w:t>
      </w:r>
      <w:r w:rsidR="00C2649E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 xml:space="preserve">interes public (whistleblowers), mai exact Legea nr. 361/2022, </w:t>
      </w:r>
      <w:r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o persoană fizică ce deține informații, obținute într-un context profesional, referitoare la o încălcare, care s-a produs sau care este susceptibilă să se producă, a legislației care intră în</w:t>
      </w:r>
      <w:r w:rsidR="004F5640"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 xml:space="preserve"> aria de competență a </w:t>
      </w:r>
      <w:r w:rsidR="008E3138"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 xml:space="preserve">Școlii Gimnaziale Nr. 1 </w:t>
      </w:r>
      <w:r w:rsidR="005304F3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Rădăuți –Prut</w:t>
      </w:r>
      <w:r w:rsidR="004F5640"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.</w:t>
      </w:r>
    </w:p>
    <w:p w14:paraId="4B6B7663" w14:textId="77777777" w:rsidR="00E54AC8" w:rsidRPr="000B6ADD" w:rsidRDefault="008E3138" w:rsidP="00CD48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 xml:space="preserve">Școala Gimnazială Nr. 1 </w:t>
      </w:r>
      <w:r w:rsidR="005304F3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Rădăuți – Prut</w:t>
      </w:r>
      <w:r w:rsidR="00E54AC8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 xml:space="preserve">  prin sala</w:t>
      </w:r>
      <w:r w:rsidR="00C2649E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riatul desemnat</w:t>
      </w:r>
      <w:r w:rsidR="00E54AC8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, examinează și s</w:t>
      </w:r>
      <w:r w:rsidR="004F5640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 xml:space="preserve">oluționează raportările </w:t>
      </w:r>
      <w:r w:rsidR="00E54AC8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care vizează doar aria sa de competență. În situația în care raportarea vizează încălcări ale legii care exced competențelor autorității, aceasta va fi redirecționată pentru o soluționare competentă.</w:t>
      </w:r>
    </w:p>
    <w:p w14:paraId="74A988DB" w14:textId="77777777" w:rsidR="00E54AC8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Excepții:</w:t>
      </w:r>
    </w:p>
    <w:p w14:paraId="26F4320C" w14:textId="77777777" w:rsidR="00E54AC8" w:rsidRPr="000B6ADD" w:rsidRDefault="00E54AC8" w:rsidP="00CD480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Situațiile care se încadrează în prevederile art. 1 alin. (3) din Legea nr. 361/2022 conform cărora atunci când normele prevăzute în anexa nr. 1 a Legii conțin norme speciale cu caracter obligatoriu privind raportarea încălcărilor legii atunci se aplică dispozițiile speciale și nu cele privind avertizorul în interes public.</w:t>
      </w:r>
    </w:p>
    <w:p w14:paraId="0130ACD6" w14:textId="77777777" w:rsidR="00E54AC8" w:rsidRPr="000B6ADD" w:rsidRDefault="00E54AC8" w:rsidP="00CD480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 xml:space="preserve">În situația în care raportarea vizează încălcări ale legii care exced competențelor </w:t>
      </w:r>
      <w:r w:rsidR="008E3138"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 xml:space="preserve">Școlii Gimnaziale Nr. 1 </w:t>
      </w:r>
      <w:r w:rsidR="005304F3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Rădăuți – Prut</w:t>
      </w:r>
      <w:r w:rsidR="00300E82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, ace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st aspect va fi comunicat avertizorului in in</w:t>
      </w:r>
      <w:r w:rsidR="00FF52CD"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t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eres public in vederea redirecționarii pentru soluționare unei autorități competente.</w:t>
      </w:r>
    </w:p>
    <w:p w14:paraId="4363433E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Pentru a beneficia de măsurile de protecție, </w:t>
      </w:r>
      <w:r w:rsidRPr="000B6ADD">
        <w:rPr>
          <w:rFonts w:ascii="Times New Roman" w:eastAsia="Times New Roman" w:hAnsi="Times New Roman" w:cs="Times New Roman"/>
          <w:b/>
          <w:bCs/>
          <w:i/>
          <w:color w:val="323232"/>
          <w:sz w:val="24"/>
          <w:szCs w:val="24"/>
          <w:bdr w:val="none" w:sz="0" w:space="0" w:color="auto" w:frame="1"/>
          <w:lang w:eastAsia="ro-RO"/>
        </w:rPr>
        <w:t>avertizorul în interes public trebuie să întrunească cumulativ următoarele condiții</w:t>
      </w:r>
      <w:r w:rsidRPr="000B6ADD">
        <w:rPr>
          <w:rFonts w:ascii="Times New Roman" w:eastAsia="Times New Roman" w:hAnsi="Times New Roman" w:cs="Times New Roman"/>
          <w:b/>
          <w:i/>
          <w:color w:val="323232"/>
          <w:sz w:val="24"/>
          <w:szCs w:val="24"/>
          <w:lang w:eastAsia="ro-RO"/>
        </w:rPr>
        <w:t>:</w:t>
      </w:r>
    </w:p>
    <w:p w14:paraId="52176F86" w14:textId="77777777" w:rsidR="00E54AC8" w:rsidRPr="000B6ADD" w:rsidRDefault="00E54AC8" w:rsidP="00CD480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a) să fie una dintre persoanele care efectuează raportări potrivit prevederilor legale și care a obținut informații referitoare la încălcări ale legii într-un context profesional;</w:t>
      </w:r>
    </w:p>
    <w:p w14:paraId="681E505A" w14:textId="77777777" w:rsidR="00E54AC8" w:rsidRPr="000B6ADD" w:rsidRDefault="00E54AC8" w:rsidP="00CD480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b) să fi avut motive întemeiate să creadă că informațiile referitoare la încălcările raportate erau adevărate la momentul raportării;</w:t>
      </w:r>
    </w:p>
    <w:p w14:paraId="6DFD8361" w14:textId="77777777" w:rsidR="00E54AC8" w:rsidRPr="000B6ADD" w:rsidRDefault="00E54AC8" w:rsidP="00CD480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c) să fi efectuat o raportare internă, o raportare externă sau o divulgare publică.</w:t>
      </w:r>
    </w:p>
    <w:p w14:paraId="31A615A7" w14:textId="6E4951B6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lastRenderedPageBreak/>
        <w:t>Gestionarea tuturor raportărilor se realizează</w:t>
      </w:r>
      <w:r w:rsidR="005304F3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 xml:space="preserve"> </w:t>
      </w:r>
      <w:r w:rsidR="008E3138" w:rsidRPr="000B6A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doamna </w:t>
      </w:r>
      <w:r w:rsidR="000E0EF7">
        <w:rPr>
          <w:rFonts w:ascii="Times New Roman" w:eastAsia="Times New Roman" w:hAnsi="Times New Roman" w:cs="Times New Roman"/>
          <w:sz w:val="24"/>
          <w:szCs w:val="24"/>
          <w:lang w:eastAsia="ro-RO"/>
        </w:rPr>
        <w:t>NEAMTU VALENTINA</w:t>
      </w:r>
      <w:r w:rsidR="008E3138" w:rsidRPr="000B6A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cu </w:t>
      </w: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păstrarea confidențialității asupra identității avertizorului în interes public și a informațiilor care ar permite identificarea directă sau indirectă a acestuia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, cu excepția situației în care avertizorul își exprimă consimțământul expres în vederea divulgării acestor informații.</w:t>
      </w:r>
    </w:p>
    <w:p w14:paraId="4B99736C" w14:textId="77777777" w:rsidR="00E54AC8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B. CANALE DE RAPORTARE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719"/>
      </w:tblGrid>
      <w:tr w:rsidR="00E54AC8" w:rsidRPr="000B6ADD" w14:paraId="5EE42E75" w14:textId="77777777" w:rsidTr="00950495">
        <w:tc>
          <w:tcPr>
            <w:tcW w:w="8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EDC236" w14:textId="77777777" w:rsidR="00E54AC8" w:rsidRPr="000B6ADD" w:rsidRDefault="00E54AC8" w:rsidP="00CD48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E-MAIL</w:t>
            </w:r>
          </w:p>
        </w:tc>
        <w:tc>
          <w:tcPr>
            <w:tcW w:w="4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4407280" w14:textId="77777777" w:rsidR="000B419B" w:rsidRPr="000B6ADD" w:rsidRDefault="00854EF6" w:rsidP="00CD480B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Adresa de e-mail dedicată</w:t>
            </w:r>
            <w:r w:rsidR="00E54AC8" w:rsidRPr="000B6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: </w:t>
            </w:r>
            <w:hyperlink r:id="rId9" w:history="1">
              <w:r w:rsidR="00CD480B" w:rsidRPr="00B269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scoala.radautiprut.avertizori@gmail.com</w:t>
              </w:r>
            </w:hyperlink>
          </w:p>
          <w:p w14:paraId="27756D05" w14:textId="77777777" w:rsidR="00E54AC8" w:rsidRPr="000B6ADD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Acest canal reprezintă una din modalitățile cele mai securizate pentru primirea raportărilor privind încălcări ale legii și este ge</w:t>
            </w:r>
            <w:r w:rsidR="000B419B"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stionat doar de către salariatul  desemnat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, în condițiile și în conformitate cu prevederile legale privind protecția avertizorilor în interes public</w:t>
            </w:r>
          </w:p>
        </w:tc>
      </w:tr>
      <w:tr w:rsidR="00E54AC8" w:rsidRPr="000B6ADD" w14:paraId="657D3103" w14:textId="77777777" w:rsidTr="00950495">
        <w:tc>
          <w:tcPr>
            <w:tcW w:w="8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D72FF1" w14:textId="77777777" w:rsidR="00E54AC8" w:rsidRPr="000B6ADD" w:rsidRDefault="00E54AC8" w:rsidP="00CD48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</w:p>
          <w:p w14:paraId="445730E7" w14:textId="77777777" w:rsidR="00E54AC8" w:rsidRPr="000B6ADD" w:rsidRDefault="00E54AC8" w:rsidP="00CD480B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POȘTĂ</w:t>
            </w:r>
          </w:p>
        </w:tc>
        <w:tc>
          <w:tcPr>
            <w:tcW w:w="4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FBED9A" w14:textId="498E14BB" w:rsidR="000B419B" w:rsidRPr="000B6ADD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Adresa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 </w:t>
            </w: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de transmitere a documentelor: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 </w:t>
            </w:r>
            <w:r w:rsidR="008E3138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loc.</w:t>
            </w:r>
            <w:r w:rsidR="00CD480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Rădăuți – Prut</w:t>
            </w:r>
            <w:r w:rsidR="001773A7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Strada </w:t>
            </w:r>
            <w:r w:rsidR="000E0EF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Calea Hotinului</w:t>
            </w:r>
            <w:r w:rsidR="001773A7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nr.</w:t>
            </w:r>
            <w:r w:rsidR="008E3138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0E0EF7" w:rsidRPr="000E0EF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  <w:r w:rsidR="001773A7" w:rsidRPr="000E0EF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="001773A7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CD480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Cod poștal </w:t>
            </w:r>
            <w:r w:rsidR="000E0EF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717316 </w:t>
            </w:r>
            <w:r w:rsidR="001773A7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CD480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Rădăuți – Prut</w:t>
            </w:r>
            <w:r w:rsidR="001773A7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judeţul</w:t>
            </w:r>
            <w:r w:rsidR="00CD480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1773A7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Botoşani</w:t>
            </w:r>
          </w:p>
          <w:p w14:paraId="5ED7050F" w14:textId="77777777" w:rsidR="00CD480B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Destinatar:</w:t>
            </w:r>
            <w:r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 w:rsidR="008E3138" w:rsidRPr="000B6A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Școala Gimnazială Nr. 1 </w:t>
            </w:r>
            <w:r w:rsidR="00CD480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Rădăuți – Prut </w:t>
            </w:r>
          </w:p>
          <w:p w14:paraId="79EA01AA" w14:textId="77777777" w:rsidR="00CD480B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Condiție obligatorie: 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plicul va fi sigilat, marcat </w:t>
            </w: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„CONFIDENTIAL”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, cu mențiunea: </w:t>
            </w:r>
            <w:r w:rsidRPr="000B6A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„Raportare conform prevederilor Legii nr. 361/2022, privind protecția avertizorilor în interes public”</w:t>
            </w: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</w:p>
          <w:p w14:paraId="214EC235" w14:textId="77777777" w:rsidR="00E54AC8" w:rsidRPr="000B6ADD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Datele de identificare a avertizorului NU vor fi trecute pe plic </w:t>
            </w:r>
            <w:r w:rsidRPr="000B6ADD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(acestea fiind menționate în cuprinsul documentului si vor fi anonimizate de catre salariatii desemnati).</w:t>
            </w:r>
          </w:p>
        </w:tc>
      </w:tr>
      <w:tr w:rsidR="00E54AC8" w:rsidRPr="000B6ADD" w14:paraId="6036E6B3" w14:textId="77777777" w:rsidTr="00950495">
        <w:tc>
          <w:tcPr>
            <w:tcW w:w="8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ECE1E0E" w14:textId="77777777" w:rsidR="00E54AC8" w:rsidRPr="000B6ADD" w:rsidRDefault="00E54AC8" w:rsidP="00CD48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</w:p>
          <w:p w14:paraId="1463AA06" w14:textId="77777777" w:rsidR="00950495" w:rsidRPr="000B6ADD" w:rsidRDefault="00950495" w:rsidP="00CD480B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</w:pPr>
          </w:p>
          <w:p w14:paraId="4E7E5EBA" w14:textId="77777777" w:rsidR="00950495" w:rsidRPr="000B6ADD" w:rsidRDefault="00950495" w:rsidP="00CD480B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</w:pPr>
          </w:p>
          <w:p w14:paraId="6104E866" w14:textId="77777777" w:rsidR="00E54AC8" w:rsidRPr="000B6ADD" w:rsidRDefault="00E54AC8" w:rsidP="00CD480B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PERSONAL</w:t>
            </w:r>
          </w:p>
        </w:tc>
        <w:tc>
          <w:tcPr>
            <w:tcW w:w="4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454814D" w14:textId="77777777" w:rsidR="00CD480B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Stabilirea unei întâlniri cu sala</w:t>
            </w:r>
            <w:r w:rsidR="00E322FA"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riatul desemnat de luni până vineri</w:t>
            </w: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 xml:space="preserve">, </w:t>
            </w:r>
            <w:r w:rsidRPr="000E0EF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între orele 10.00 – 14.00 și vineri între orele 10.00 – 12.00</w:t>
            </w: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</w:p>
          <w:p w14:paraId="08F11E33" w14:textId="77777777" w:rsidR="00E322FA" w:rsidRPr="000B6ADD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În situația în care se dorește efectuarea raportării în prezența salariatului desemnat, avertizorul are posibilitatea de a solicita o întâlnire cu acesta</w:t>
            </w:r>
            <w:r w:rsidR="008E3138" w:rsidRPr="000B6ADD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 xml:space="preserve">, </w:t>
            </w:r>
            <w:r w:rsidR="008E3138" w:rsidRPr="000B6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prin e-mail:</w:t>
            </w:r>
            <w:r w:rsidR="00CD480B">
              <w:t xml:space="preserve"> </w:t>
            </w:r>
            <w:hyperlink r:id="rId10" w:history="1">
              <w:r w:rsidR="00CD480B" w:rsidRPr="00B269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scoala.radautiprut.avertizori@gmail.com</w:t>
              </w:r>
            </w:hyperlink>
            <w:r w:rsidR="00CD480B" w:rsidRPr="000B6A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o-RO"/>
              </w:rPr>
              <w:t xml:space="preserve"> </w:t>
            </w:r>
            <w:r w:rsidRPr="000B6A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o-RO"/>
              </w:rPr>
              <w:br/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Solicitarea trebuie să conțină un minim de date de contact </w:t>
            </w:r>
            <w:r w:rsidRPr="000B6ADD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bdr w:val="none" w:sz="0" w:space="0" w:color="auto" w:frame="1"/>
                <w:lang w:eastAsia="ro-RO"/>
              </w:rPr>
              <w:t>(nume și prenume, adresa de e-mail, număr de telefon) </w:t>
            </w:r>
            <w:r w:rsidR="00E322FA"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necesare salariatului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 xml:space="preserve"> desemna</w:t>
            </w:r>
            <w:r w:rsidR="008E3138"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t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 xml:space="preserve"> pentru organ</w:t>
            </w:r>
            <w:r w:rsidR="008E3138"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izarea unei întâlniri la sediul unității școlare</w:t>
            </w:r>
            <w:r w:rsidR="00E322FA"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.</w:t>
            </w:r>
          </w:p>
          <w:p w14:paraId="252038FC" w14:textId="77777777" w:rsidR="00E54AC8" w:rsidRPr="000B6ADD" w:rsidRDefault="00E54AC8" w:rsidP="00CD48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</w:pP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>Aspectele comunicate salariatului vor fi</w:t>
            </w:r>
            <w:r w:rsidR="00EF13D2"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 xml:space="preserve"> consemnate de către acesta 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t xml:space="preserve"> într-un Proces-verbal, sub rezerva exprimării consimțământului cu semnătura </w:t>
            </w:r>
            <w:r w:rsidRPr="000B6AD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o-RO"/>
              </w:rPr>
              <w:lastRenderedPageBreak/>
              <w:t>ambelor părți. În lipsa consimțământului, solicitarea va fi formulată în scris, pe suport de hârtie sau în format electronic la adresa de e-mail dedicată.</w:t>
            </w:r>
          </w:p>
        </w:tc>
      </w:tr>
    </w:tbl>
    <w:p w14:paraId="353D41FC" w14:textId="77777777" w:rsidR="000B6ADD" w:rsidRDefault="000B6ADD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</w:pPr>
    </w:p>
    <w:p w14:paraId="0A193C0A" w14:textId="77777777" w:rsidR="00E54AC8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C. CE TREBUIE SĂ CONȚINĂ RAPORTAREA</w:t>
      </w:r>
    </w:p>
    <w:p w14:paraId="0520F6CC" w14:textId="77777777" w:rsidR="001163F7" w:rsidRPr="000B6ADD" w:rsidRDefault="001163F7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</w:p>
    <w:p w14:paraId="5CA89533" w14:textId="77777777" w:rsidR="00E54AC8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Raportarea </w:t>
      </w: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trebuie să cuprindă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, cel puțin, următoarele date:</w:t>
      </w:r>
    </w:p>
    <w:p w14:paraId="4A709BFF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nume și prenume;</w:t>
      </w:r>
    </w:p>
    <w:p w14:paraId="5D1D50A3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date de contact;</w:t>
      </w:r>
    </w:p>
    <w:p w14:paraId="48AB7699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contextul profesional în care au fost obținute informațiile;</w:t>
      </w:r>
    </w:p>
    <w:p w14:paraId="74F1AF4F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numele și prenumele persoanei vizate, dacă este cunoscută;</w:t>
      </w:r>
    </w:p>
    <w:p w14:paraId="76DF60D5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descrierea faptei susceptibile să constituie încălcare a legii;</w:t>
      </w:r>
    </w:p>
    <w:p w14:paraId="7292C463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probe în susținerea raportării, după caz;</w:t>
      </w:r>
    </w:p>
    <w:p w14:paraId="0384F14C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indicarea altor persoane care au cunoștință despre eveniment;</w:t>
      </w:r>
    </w:p>
    <w:p w14:paraId="1E29904E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orice documente sau alte dovezi disponibile pentru a susține informațiile furnizate (de ex., documente scrise, cum ar fi note / rapoarte / facturi / alte documente financiare / etc.);</w:t>
      </w:r>
    </w:p>
    <w:p w14:paraId="3B91D3CF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orice alte informații, de natură să faciliteze identificarea faptei raportate;</w:t>
      </w:r>
    </w:p>
    <w:p w14:paraId="64776D03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data;</w:t>
      </w:r>
    </w:p>
    <w:p w14:paraId="549DEA80" w14:textId="77777777" w:rsidR="00E54AC8" w:rsidRPr="000B6ADD" w:rsidRDefault="00E54AC8" w:rsidP="00CD480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semnătura avertizorului.</w:t>
      </w:r>
    </w:p>
    <w:p w14:paraId="493A053E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Prin excepție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, raportarea care nu cuprinde numele, prenumele, datele de contact sau semnătura avertizorului se examinează și se soluționează în măsura în care conține indicii referitoare la încălcări ale legii.</w:t>
      </w:r>
    </w:p>
    <w:p w14:paraId="51E80612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D. COMUNICĂRI</w:t>
      </w:r>
    </w:p>
    <w:p w14:paraId="4D3DC59E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În termen de cel mult 7 zile calendaristice de la înregistrarea raportării, salariatul desemnat va transmite confirmarea de primire.</w:t>
      </w:r>
    </w:p>
    <w:p w14:paraId="55D31983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În cazul în care sunt necesare clarificări suplimentare privind situația sesizată, salariatul desemnat transmite solicitarea prin intermediul aceluiași canal de comunicare </w:t>
      </w:r>
      <w:r w:rsidRPr="000B6ADD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  <w:lang w:eastAsia="ro-RO"/>
        </w:rPr>
        <w:t>(dacă în cuprinsul raportării nu a fost indicat un alt canal de comunicare).</w:t>
      </w:r>
    </w:p>
    <w:p w14:paraId="1E868BA3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Salariatul desemnat informează avertizorul cu privire la acțiunile subsecvente, în termen de cel mult 3 luni de la data confirmării de primire sau dacă nu a fost confirmată primirea raportării la expirarea termenului de 7 zile calendaristice de la înregistrarea raportării, precum și ulterior, ori de câte ori sunt înregistrate evoluții în desfășurarea acțiunilor subsecvente cu excepția situațiilor în care poate fi periclitată desfășurarea acestora.</w:t>
      </w:r>
    </w:p>
    <w:p w14:paraId="2AA7A5E9" w14:textId="77777777" w:rsidR="001163F7" w:rsidRDefault="001163F7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</w:pPr>
    </w:p>
    <w:p w14:paraId="7C94B03C" w14:textId="77777777" w:rsidR="005D2013" w:rsidRPr="000B6ADD" w:rsidRDefault="005D2013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</w:pPr>
    </w:p>
    <w:p w14:paraId="6F39F0C5" w14:textId="77777777" w:rsidR="00E54AC8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E. CLASAREA RAPORTĂRII</w:t>
      </w:r>
    </w:p>
    <w:p w14:paraId="1CD6A2E4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În situația în care raportarea este transmisă anonim sau nu conține suficiente informații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 care să permită analizarea și soluționarea acesteia și nu s-a dat curs solicitării de completare a acesteia în termen de 15 zile, aceasta se clasează fiind comunicată soluția de clasare și temeiul legal în baza căruia s-a efectuat clasarea.</w:t>
      </w:r>
    </w:p>
    <w:p w14:paraId="7133B8E7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Raportarea se clasează și în situația în care, în urma analizei preliminare efectuate, se constată că aceasta nu se încadrează în domeniul de aplicabilitate a prevederilor legale privind protecția avertizorilor în interes public sau în situația în care se constată faptul că persoana care a efectuat raportarea nu are calitatea de avertizor în interes public.</w:t>
      </w:r>
    </w:p>
    <w:p w14:paraId="684958F9" w14:textId="77777777" w:rsidR="00E54AC8" w:rsidRPr="000B6ADD" w:rsidRDefault="00E54AC8" w:rsidP="00CD480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În cazul primirii mai multor raportări cu același obiect</w:t>
      </w:r>
      <w:r w:rsidRPr="000B6ADD"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  <w:t>, acestea sunt conexate și salariatul desemnat transmite o singură informare.</w:t>
      </w:r>
    </w:p>
    <w:p w14:paraId="60E72764" w14:textId="77777777" w:rsidR="0049482E" w:rsidRPr="000B6ADD" w:rsidRDefault="00E54AC8" w:rsidP="00CD480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o-RO"/>
        </w:rPr>
      </w:pPr>
      <w:r w:rsidRPr="000B6ADD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  <w:lang w:eastAsia="ro-RO"/>
        </w:rPr>
        <w:t> </w:t>
      </w:r>
    </w:p>
    <w:p w14:paraId="1EDF067D" w14:textId="77777777" w:rsidR="0049482E" w:rsidRDefault="0049482E" w:rsidP="00CD48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8B71C" w14:textId="77777777" w:rsidR="000B6ADD" w:rsidRPr="000B6ADD" w:rsidRDefault="000B6ADD" w:rsidP="004948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594E0" w14:textId="77777777" w:rsidR="006E2C37" w:rsidRPr="000B6ADD" w:rsidRDefault="004F5640" w:rsidP="00854E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6ADD">
        <w:rPr>
          <w:rFonts w:ascii="Times New Roman" w:hAnsi="Times New Roman" w:cs="Times New Roman"/>
          <w:sz w:val="24"/>
          <w:szCs w:val="24"/>
        </w:rPr>
        <w:t>Întocmit,</w:t>
      </w:r>
    </w:p>
    <w:p w14:paraId="0E0D17D7" w14:textId="77777777" w:rsidR="004F5640" w:rsidRPr="000B6ADD" w:rsidRDefault="00854EF6" w:rsidP="00854E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6ADD">
        <w:rPr>
          <w:rFonts w:ascii="Times New Roman" w:hAnsi="Times New Roman" w:cs="Times New Roman"/>
          <w:sz w:val="24"/>
          <w:szCs w:val="24"/>
        </w:rPr>
        <w:t>persoană</w:t>
      </w:r>
      <w:r w:rsidR="004F5640" w:rsidRPr="000B6ADD">
        <w:rPr>
          <w:rFonts w:ascii="Times New Roman" w:hAnsi="Times New Roman" w:cs="Times New Roman"/>
          <w:sz w:val="24"/>
          <w:szCs w:val="24"/>
        </w:rPr>
        <w:t xml:space="preserve"> responsabila</w:t>
      </w:r>
      <w:r w:rsidRPr="000B6ADD">
        <w:rPr>
          <w:rFonts w:ascii="Times New Roman" w:hAnsi="Times New Roman" w:cs="Times New Roman"/>
          <w:sz w:val="24"/>
          <w:szCs w:val="24"/>
        </w:rPr>
        <w:t xml:space="preserve"> cu gestionarea raportă</w:t>
      </w:r>
      <w:r w:rsidR="0049482E" w:rsidRPr="000B6ADD">
        <w:rPr>
          <w:rFonts w:ascii="Times New Roman" w:hAnsi="Times New Roman" w:cs="Times New Roman"/>
          <w:sz w:val="24"/>
          <w:szCs w:val="24"/>
        </w:rPr>
        <w:t>rilor avertizorilor de integritate</w:t>
      </w:r>
    </w:p>
    <w:p w14:paraId="27584B02" w14:textId="6DE06281" w:rsidR="00854EF6" w:rsidRPr="000B6ADD" w:rsidRDefault="00CD480B" w:rsidP="00854EF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0E0EF7">
        <w:rPr>
          <w:rFonts w:ascii="Times New Roman" w:hAnsi="Times New Roman" w:cs="Times New Roman"/>
          <w:sz w:val="24"/>
          <w:szCs w:val="24"/>
        </w:rPr>
        <w:t>Neamtu Valentina</w:t>
      </w:r>
    </w:p>
    <w:sectPr w:rsidR="00854EF6" w:rsidRPr="000B6ADD" w:rsidSect="00CD480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F419" w14:textId="77777777" w:rsidR="0071595A" w:rsidRDefault="0071595A" w:rsidP="001163F7">
      <w:pPr>
        <w:spacing w:after="0" w:line="240" w:lineRule="auto"/>
      </w:pPr>
      <w:r>
        <w:separator/>
      </w:r>
    </w:p>
  </w:endnote>
  <w:endnote w:type="continuationSeparator" w:id="0">
    <w:p w14:paraId="6FAD59B9" w14:textId="77777777" w:rsidR="0071595A" w:rsidRDefault="0071595A" w:rsidP="0011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769455"/>
      <w:docPartObj>
        <w:docPartGallery w:val="Page Numbers (Bottom of Page)"/>
        <w:docPartUnique/>
      </w:docPartObj>
    </w:sdtPr>
    <w:sdtEndPr/>
    <w:sdtContent>
      <w:p w14:paraId="12D4DF00" w14:textId="77777777" w:rsidR="005304F3" w:rsidRDefault="00064A7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7BAEE9" w14:textId="77777777" w:rsidR="005304F3" w:rsidRDefault="005304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36ED" w14:textId="77777777" w:rsidR="0071595A" w:rsidRDefault="0071595A" w:rsidP="001163F7">
      <w:pPr>
        <w:spacing w:after="0" w:line="240" w:lineRule="auto"/>
      </w:pPr>
      <w:r>
        <w:separator/>
      </w:r>
    </w:p>
  </w:footnote>
  <w:footnote w:type="continuationSeparator" w:id="0">
    <w:p w14:paraId="58912B88" w14:textId="77777777" w:rsidR="0071595A" w:rsidRDefault="0071595A" w:rsidP="0011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77E1"/>
    <w:multiLevelType w:val="multilevel"/>
    <w:tmpl w:val="8AB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3210D"/>
    <w:multiLevelType w:val="multilevel"/>
    <w:tmpl w:val="63C8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C3DEE"/>
    <w:multiLevelType w:val="multilevel"/>
    <w:tmpl w:val="1224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649495">
    <w:abstractNumId w:val="2"/>
  </w:num>
  <w:num w:numId="2" w16cid:durableId="1040939510">
    <w:abstractNumId w:val="1"/>
  </w:num>
  <w:num w:numId="3" w16cid:durableId="13594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AC8"/>
    <w:rsid w:val="00027D89"/>
    <w:rsid w:val="00064A7E"/>
    <w:rsid w:val="000B419B"/>
    <w:rsid w:val="000B6ADD"/>
    <w:rsid w:val="000E0EF7"/>
    <w:rsid w:val="001163F7"/>
    <w:rsid w:val="001773A7"/>
    <w:rsid w:val="0025189B"/>
    <w:rsid w:val="00300E82"/>
    <w:rsid w:val="003B67D4"/>
    <w:rsid w:val="0049482E"/>
    <w:rsid w:val="004C2B0F"/>
    <w:rsid w:val="004F5640"/>
    <w:rsid w:val="005304F3"/>
    <w:rsid w:val="005D2013"/>
    <w:rsid w:val="006230B6"/>
    <w:rsid w:val="006E2C37"/>
    <w:rsid w:val="007057B6"/>
    <w:rsid w:val="00713BFB"/>
    <w:rsid w:val="0071595A"/>
    <w:rsid w:val="00766EF4"/>
    <w:rsid w:val="007E0432"/>
    <w:rsid w:val="00854EF6"/>
    <w:rsid w:val="008E3138"/>
    <w:rsid w:val="00950495"/>
    <w:rsid w:val="00B21E44"/>
    <w:rsid w:val="00B47FB9"/>
    <w:rsid w:val="00B77654"/>
    <w:rsid w:val="00C2649E"/>
    <w:rsid w:val="00CD480B"/>
    <w:rsid w:val="00D30AA7"/>
    <w:rsid w:val="00E322FA"/>
    <w:rsid w:val="00E54AC8"/>
    <w:rsid w:val="00EF13D2"/>
    <w:rsid w:val="00EF45B4"/>
    <w:rsid w:val="00FE7159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8A6608"/>
  <w15:docId w15:val="{34121130-F45F-41AA-82F2-2A63E48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E54AC8"/>
    <w:rPr>
      <w:b/>
      <w:bCs/>
    </w:rPr>
  </w:style>
  <w:style w:type="character" w:styleId="Hyperlink">
    <w:name w:val="Hyperlink"/>
    <w:basedOn w:val="Fontdeparagrafimplicit"/>
    <w:uiPriority w:val="99"/>
    <w:unhideWhenUsed/>
    <w:rsid w:val="00E54AC8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E54AC8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11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163F7"/>
  </w:style>
  <w:style w:type="paragraph" w:styleId="Subsol">
    <w:name w:val="footer"/>
    <w:basedOn w:val="Normal"/>
    <w:link w:val="SubsolCaracter"/>
    <w:uiPriority w:val="99"/>
    <w:unhideWhenUsed/>
    <w:rsid w:val="0011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19666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rprut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oala.radautiprut.avertizor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ala.radautiprut.avertizo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56E3-1E46-4ECA-897C-00A4EAAD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1048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2025-04-27T07:34:00Z</dcterms:created>
  <dcterms:modified xsi:type="dcterms:W3CDTF">2025-08-11T11:54:00Z</dcterms:modified>
</cp:coreProperties>
</file>